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Account Manager</w:t>
      </w:r>
    </w:p>
    <w:p>
      <w:pPr>
        <w:jc w:val="center"/>
      </w:pPr>
      <w:r>
        <w:rPr>
          <w:color w:val="444444"/>
        </w:rPr>
        <w:t xml:space="preserve">(555) 010-0000  ·  you@example.com  ·  City, ST  ·  linkedin.com/in/your-name</w:t>
      </w:r>
    </w:p>
    <w:p>
      <w:pPr>
        <w:pStyle w:val="Heading2"/>
      </w:pPr>
      <w:r>
        <w:t xml:space="preserve">SUMMARY</w:t>
      </w:r>
    </w:p>
    <w:p>
      <w:r>
        <w:t xml:space="preserve">Account manager with seven years owning enterprise and mid-market portfolios, sustaining 96% gross retention and 114% net revenue retention across a $6M book while growing strategic accounts through structured quarterly business reviews.</w:t>
      </w:r>
    </w:p>
    <w:p>
      <w:pPr>
        <w:pStyle w:val="Heading2"/>
      </w:pPr>
      <w:r>
        <w:t xml:space="preserve">EXPERIENCE</w:t>
      </w:r>
    </w:p>
    <w:p>
      <w:pPr>
        <w:tabs>
          <w:tab w:val="right" w:pos="9026"/>
        </w:tabs>
      </w:pPr>
      <w:r>
        <w:rPr>
          <w:b/>
          <w:bCs/>
        </w:rPr>
        <w:t xml:space="preserve">Senior Account Manager, Clearpoint SaaS Holdings</w:t>
      </w:r>
      <w:r>
        <w:rPr>
          <w:color w:val="444444"/>
        </w:rPr>
        <w:t xml:space="preserve">	2021 – Present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Owned a $6M book of 42 enterprise accounts, holding 96% gross retention and 114% net revenue retention.</w:t>
      </w:r>
    </w:p>
    <w:p>
      <w:pPr>
        <w:pStyle w:val="ListParagraph"/>
        <w:numPr>
          <w:ilvl w:val="0"/>
          <w:numId w:val="2"/>
        </w:numPr>
      </w:pPr>
      <w:r>
        <w:t xml:space="preserve">Grew portfolio revenue $740K year over year through upsell and cross-sell tied to documented customer goals.</w:t>
      </w:r>
    </w:p>
    <w:p>
      <w:pPr>
        <w:pStyle w:val="ListParagraph"/>
        <w:numPr>
          <w:ilvl w:val="0"/>
          <w:numId w:val="2"/>
        </w:numPr>
      </w:pPr>
      <w:r>
        <w:t xml:space="preserve">Renewed 38 of 40 up-for-renewal contracts on time, recovering two at-risk accounts with executive save plans.</w:t>
      </w:r>
    </w:p>
    <w:p>
      <w:pPr>
        <w:pStyle w:val="ListParagraph"/>
        <w:numPr>
          <w:ilvl w:val="0"/>
          <w:numId w:val="2"/>
        </w:numPr>
      </w:pPr>
      <w:r>
        <w:t xml:space="preserve">Ran 160 quarterly business reviews over two years, lifting product adoption scores from 62% to 84%.</w:t>
      </w:r>
    </w:p>
    <w:p>
      <w:pPr>
        <w:pStyle w:val="ListParagraph"/>
        <w:numPr>
          <w:ilvl w:val="0"/>
          <w:numId w:val="2"/>
        </w:numPr>
      </w:pPr>
      <w:r>
        <w:t xml:space="preserve">Cut logo churn from 9% to 4% by building an early-warning health score from usage and support signals.</w:t>
      </w:r>
    </w:p>
    <w:p>
      <w:pPr>
        <w:pStyle w:val="ListParagraph"/>
        <w:numPr>
          <w:ilvl w:val="0"/>
          <w:numId w:val="2"/>
        </w:numPr>
      </w:pPr>
      <w:r>
        <w:t xml:space="preserve">Drove a 27-point gain in account NPS by closing the loop on every detractor within five business days.</w:t>
      </w:r>
    </w:p>
    <w:p>
      <w:pPr>
        <w:pStyle w:val="ListParagraph"/>
        <w:numPr>
          <w:ilvl w:val="0"/>
          <w:numId w:val="2"/>
        </w:numPr>
      </w:pPr>
      <w:r>
        <w:t xml:space="preserve">Coordinated 15 cross-sell wins with the sales team, adding $310K in expansion attributed to AM-sourced referrals.</w:t>
      </w:r>
    </w:p>
    <w:p>
      <w:pPr>
        <w:tabs>
          <w:tab w:val="right" w:pos="9026"/>
        </w:tabs>
      </w:pPr>
      <w:r>
        <w:rPr>
          <w:b/>
          <w:bCs/>
        </w:rPr>
        <w:t xml:space="preserve">Account Manager, Harborline Services Inc.</w:t>
      </w:r>
      <w:r>
        <w:rPr>
          <w:color w:val="444444"/>
        </w:rPr>
        <w:t xml:space="preserve">	2018 – 2021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Managed 70 mid-market accounts worth $3.2M in annual recurring revenue with a 93% renewal rate.</w:t>
      </w:r>
    </w:p>
    <w:p>
      <w:pPr>
        <w:pStyle w:val="ListParagraph"/>
        <w:numPr>
          <w:ilvl w:val="0"/>
          <w:numId w:val="2"/>
        </w:numPr>
      </w:pPr>
      <w:r>
        <w:t xml:space="preserve">Expanded 22 accounts into higher tiers, contributing $480K in upsell over the three-year tenure.</w:t>
      </w:r>
    </w:p>
    <w:p>
      <w:pPr>
        <w:pStyle w:val="ListParagraph"/>
        <w:numPr>
          <w:ilvl w:val="0"/>
          <w:numId w:val="2"/>
        </w:numPr>
      </w:pPr>
      <w:r>
        <w:t xml:space="preserve">Reduced onboarding-to-value time from 45 to 28 days by templating a 30-60-90 success plan.</w:t>
      </w:r>
    </w:p>
    <w:p>
      <w:pPr>
        <w:pStyle w:val="ListParagraph"/>
        <w:numPr>
          <w:ilvl w:val="0"/>
          <w:numId w:val="2"/>
        </w:numPr>
      </w:pPr>
      <w:r>
        <w:t xml:space="preserve">Resolved escalations as the single point of contact, keeping reopened-issue rate under 3%.</w:t>
      </w:r>
    </w:p>
    <w:p>
      <w:pPr>
        <w:pStyle w:val="ListParagraph"/>
        <w:numPr>
          <w:ilvl w:val="0"/>
          <w:numId w:val="2"/>
        </w:numPr>
      </w:pPr>
      <w:r>
        <w:t xml:space="preserve">Built dashboards in Gainsight that flagged 18 churn risks early enough for 12 to be saved.</w:t>
      </w:r>
    </w:p>
    <w:p>
      <w:pPr>
        <w:pStyle w:val="ListParagraph"/>
        <w:numPr>
          <w:ilvl w:val="0"/>
          <w:numId w:val="2"/>
        </w:numPr>
      </w:pPr>
      <w:r>
        <w:t xml:space="preserve">Hosted two regional customer roundtables that produced six case-study references for the sales team.</w:t>
      </w:r>
    </w:p>
    <w:p>
      <w:pPr>
        <w:pStyle w:val="Heading2"/>
      </w:pPr>
      <w:r>
        <w:t xml:space="preserve">EDUCATION</w:t>
      </w:r>
    </w:p>
    <w:p>
      <w:pPr>
        <w:tabs>
          <w:tab w:val="right" w:pos="9026"/>
        </w:tabs>
      </w:pPr>
      <w:r>
        <w:rPr>
          <w:b/>
          <w:bCs/>
        </w:rPr>
        <w:t xml:space="preserve">Bachelor of Arts in Business Communication</w:t>
      </w:r>
      <w:r>
        <w:rPr>
          <w:color w:val="444444"/>
        </w:rPr>
        <w:t xml:space="preserve">	2014 – 2018</w:t>
      </w:r>
    </w:p>
    <w:p>
      <w:r>
        <w:rPr>
          <w:color w:val="444444"/>
        </w:rPr>
        <w:t xml:space="preserve">State University — City, ST</w:t>
      </w:r>
    </w:p>
    <w:p>
      <w:pPr>
        <w:pStyle w:val="Heading2"/>
      </w:pPr>
      <w:r>
        <w:t xml:space="preserve">SKILLS</w:t>
      </w:r>
    </w:p>
    <w:p>
      <w:r>
        <w:t xml:space="preserve">Net revenue retention  ·  Gross retention  ·  Renewal management  ·  Upsell and cross-sell  ·  Quarterly business reviews  ·  Account health scoring  ·  Salesforce CRM  ·  Gainsight customer success  ·  Escalation management  ·  Onboarding and adoption  ·  Stakeholder mapping  ·  Reference and advocacy building</w:t>
      </w:r>
    </w:p>
    <w:sectPr>
      <w:pgSz w:w="12240" w:h="15840" w:orient="portrait"/>
      <w:pgMar w:top="1008" w:right="1008" w:bottom="1008" w:left="1008" w:header="708" w:footer="708" w:gutter="0"/>
      <w:pgNumType/>
      <w:cols w:num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59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11111"/>
        <w:sz w:val="21"/>
        <w:szCs w:val="21"/>
      </w:rPr>
    </w:rPrDefault>
    <w:pPrDefault>
      <w:pPr>
        <w:spacing w:after="80" w:line="288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40"/>
      <w:jc w:val="center"/>
    </w:pPr>
    <w:rPr>
      <w:rFonts w:ascii="Calibri" w:cs="Calibri" w:eastAsia="Calibri" w:hAnsi="Calibri"/>
      <w:b/>
      <w:bCs/>
      <w:color w:val="111111"/>
      <w:sz w:val="44"/>
      <w:szCs w:val="44"/>
    </w:rPr>
  </w:style>
  <w:style w:type="paragraph" w:styleId="Heading2">
    <w:name w:val="Heading 2"/>
    <w:basedOn w:val="Normal"/>
    <w:next w:val="Normal"/>
    <w:qFormat/>
    <w:pPr>
      <w:pBdr>
        <w:bottom w:val="single" w:color="1d4ed8" w:sz="6" w:space="2"/>
      </w:pBdr>
      <w:spacing w:after="60" w:before="200"/>
    </w:pPr>
    <w:rPr>
      <w:rFonts w:ascii="Calibri" w:cs="Calibri" w:eastAsia="Calibri" w:hAnsi="Calibri"/>
      <w:b/>
      <w:bCs/>
      <w:caps/>
      <w:color w:val="1d4ed8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 Manager — Resume</dc:title>
  <dc:creator>Truly-Free Resume Corner</dc:creator>
  <dc:description>ATS-safe resume — generated client-side, no sign-up, no watermark.</dc:description>
  <cp:lastModifiedBy>Un-named</cp:lastModifiedBy>
  <cp:revision>1</cp:revision>
  <dcterms:created xsi:type="dcterms:W3CDTF">2026-06-12T00:00:00Z</dcterms:created>
  <dcterms:modified xsi:type="dcterms:W3CDTF">2026-06-12T00:00:00Z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