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Insurance Agent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insurance agent with six years writing personal and commercial lines, growing a book through cross-sell and referrals while sustaining high client retention and consistently exceeding monthly new-premium targets.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Insurance Agent, Evergreen Insurance Partners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Wrote $1.3M in new annual premium across auto, home, and umbrella lines, finishing at 121% of goal.</w:t>
      </w:r>
    </w:p>
    <w:p>
      <w:pPr>
        <w:pStyle w:val="ListParagraph"/>
        <w:numPr>
          <w:ilvl w:val="0"/>
          <w:numId w:val="2"/>
        </w:numPr>
      </w:pPr>
      <w:r>
        <w:t xml:space="preserve">Bound an average of 34 new policies per month while maintaining a quote-to-bind ratio of 38%.</w:t>
      </w:r>
    </w:p>
    <w:p>
      <w:pPr>
        <w:pStyle w:val="ListParagraph"/>
        <w:numPr>
          <w:ilvl w:val="0"/>
          <w:numId w:val="2"/>
        </w:numPr>
      </w:pPr>
      <w:r>
        <w:t xml:space="preserve">Raised household cross-sell ratio from 1.7 to 2.4 policies by reviewing every new client for bundling gaps.</w:t>
      </w:r>
    </w:p>
    <w:p>
      <w:pPr>
        <w:pStyle w:val="ListParagraph"/>
        <w:numPr>
          <w:ilvl w:val="0"/>
          <w:numId w:val="2"/>
        </w:numPr>
      </w:pPr>
      <w:r>
        <w:t xml:space="preserve">Sustained 91% book retention at renewal through proactive annual coverage reviews on top accounts.</w:t>
      </w:r>
    </w:p>
    <w:p>
      <w:pPr>
        <w:pStyle w:val="ListParagraph"/>
        <w:numPr>
          <w:ilvl w:val="0"/>
          <w:numId w:val="2"/>
        </w:numPr>
      </w:pPr>
      <w:r>
        <w:t xml:space="preserve">Generated 45% of new business from referrals by asking for introductions after every bound policy.</w:t>
      </w:r>
    </w:p>
    <w:p>
      <w:pPr>
        <w:pStyle w:val="ListParagraph"/>
        <w:numPr>
          <w:ilvl w:val="0"/>
          <w:numId w:val="2"/>
        </w:numPr>
      </w:pPr>
      <w:r>
        <w:t xml:space="preserve">Processed quotes and endorsements in the agency-management system with zero compliance findings on audit.</w:t>
      </w:r>
    </w:p>
    <w:p>
      <w:pPr>
        <w:pStyle w:val="ListParagraph"/>
        <w:numPr>
          <w:ilvl w:val="0"/>
          <w:numId w:val="2"/>
        </w:numPr>
      </w:pPr>
      <w:r>
        <w:t xml:space="preserve">Recovered 22 lapsed policies in one year through a structured win-back call and email cadence.</w:t>
      </w:r>
    </w:p>
    <w:p>
      <w:pPr>
        <w:tabs>
          <w:tab w:val="right" w:pos="9026"/>
        </w:tabs>
      </w:pPr>
      <w:r>
        <w:rPr>
          <w:b/>
          <w:bCs/>
        </w:rPr>
        <w:t xml:space="preserve">Insurance Sales Producer, Summit Coverage Agency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Produced $780K in new premium in the final year, ranking third of 14 producers in the agency.</w:t>
      </w:r>
    </w:p>
    <w:p>
      <w:pPr>
        <w:pStyle w:val="ListParagraph"/>
        <w:numPr>
          <w:ilvl w:val="0"/>
          <w:numId w:val="2"/>
        </w:numPr>
      </w:pPr>
      <w:r>
        <w:t xml:space="preserve">Quoted 60-plus prospects monthly across multiple carriers to match coverage to client risk and budget.</w:t>
      </w:r>
    </w:p>
    <w:p>
      <w:pPr>
        <w:pStyle w:val="ListParagraph"/>
        <w:numPr>
          <w:ilvl w:val="0"/>
          <w:numId w:val="2"/>
        </w:numPr>
      </w:pPr>
      <w:r>
        <w:t xml:space="preserve">Closed 28% of inbound life-insurance leads by qualifying needs with a structured fact-find.</w:t>
      </w:r>
    </w:p>
    <w:p>
      <w:pPr>
        <w:pStyle w:val="ListParagraph"/>
        <w:numPr>
          <w:ilvl w:val="0"/>
          <w:numId w:val="2"/>
        </w:numPr>
      </w:pPr>
      <w:r>
        <w:t xml:space="preserve">Built a small-commercial pipeline that added 30 business policies over three years.</w:t>
      </w:r>
    </w:p>
    <w:p>
      <w:pPr>
        <w:pStyle w:val="ListParagraph"/>
        <w:numPr>
          <w:ilvl w:val="0"/>
          <w:numId w:val="2"/>
        </w:numPr>
      </w:pPr>
      <w:r>
        <w:t xml:space="preserve">Followed every carrier's underwriting guidelines, keeping the application-decline rate under 6%.</w:t>
      </w:r>
    </w:p>
    <w:p>
      <w:pPr>
        <w:pStyle w:val="ListParagraph"/>
        <w:numPr>
          <w:ilvl w:val="0"/>
          <w:numId w:val="2"/>
        </w:numPr>
      </w:pPr>
      <w:r>
        <w:t xml:space="preserve">Earned a top-producer trip twice for exceeding annual new-premium targets.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Finance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Property and Casualty Insurance License  ·  State Life and Health Insurance License</w:t>
      </w:r>
    </w:p>
    <w:p>
      <w:pPr>
        <w:pStyle w:val="Heading2"/>
      </w:pPr>
      <w:r>
        <w:t xml:space="preserve">Skills</w:t>
      </w:r>
    </w:p>
    <w:p>
      <w:r>
        <w:t xml:space="preserve">New premium production  ·  Quote-to-bind conversion  ·  Cross-selling lines  ·  Book retention  ·  Property and Casualty lines  ·  Life and Health lines  ·  Referral generation  ·  Agency-management systems  ·  Underwriting guidelines  ·  Needs-based selling  ·  Multi-carrier quoting  ·  Policy win-back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Agent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