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Medical Receptionist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Front-desk medical receptionist with five years in multi-provider clinics, checking in 80-plus patients a day, verifying insurance and collecting copays accurately, and managing scheduling and phones while protecting patient privacy under HIPAA.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Medical Receptionist, Family Health Clinic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Check in and register 80 to 100 patients daily across five providers, verifying demographics and insurance in athenahealth before each visit.</w:t>
      </w:r>
    </w:p>
    <w:p>
      <w:pPr>
        <w:pStyle w:val="ListParagraph"/>
        <w:numPr>
          <w:ilvl w:val="0"/>
          <w:numId w:val="2"/>
        </w:numPr>
      </w:pPr>
      <w:r>
        <w:t xml:space="preserve">Verify eligibility and collect copays and outstanding balances at the desk, lifting point-of-service collections by 18 percent.</w:t>
      </w:r>
    </w:p>
    <w:p>
      <w:pPr>
        <w:pStyle w:val="ListParagraph"/>
        <w:numPr>
          <w:ilvl w:val="0"/>
          <w:numId w:val="2"/>
        </w:numPr>
      </w:pPr>
      <w:r>
        <w:t xml:space="preserve">Manage a multi-line phone system averaging 120 calls a day, triaging clinical questions to nursing and booking same-day appointments.</w:t>
      </w:r>
    </w:p>
    <w:p>
      <w:pPr>
        <w:pStyle w:val="ListParagraph"/>
        <w:numPr>
          <w:ilvl w:val="0"/>
          <w:numId w:val="2"/>
        </w:numPr>
      </w:pPr>
      <w:r>
        <w:t xml:space="preserve">Reduced the clinic's no-show rate from 14 to 9 percent by launching a two-touch reminder workflow of text and call.</w:t>
      </w:r>
    </w:p>
    <w:p>
      <w:pPr>
        <w:pStyle w:val="ListParagraph"/>
        <w:numPr>
          <w:ilvl w:val="0"/>
          <w:numId w:val="2"/>
        </w:numPr>
      </w:pPr>
      <w:r>
        <w:t xml:space="preserve">Coordinate provider schedules and template overrides to keep wait times under fifteen minutes during peak hours.</w:t>
      </w:r>
    </w:p>
    <w:p>
      <w:pPr>
        <w:pStyle w:val="ListParagraph"/>
        <w:numPr>
          <w:ilvl w:val="0"/>
          <w:numId w:val="2"/>
        </w:numPr>
      </w:pPr>
      <w:r>
        <w:t xml:space="preserve">Scan, index, and route incoming records and faxes into the EHR while safeguarding protected health information under HIPAA.</w:t>
      </w:r>
    </w:p>
    <w:p>
      <w:pPr>
        <w:tabs>
          <w:tab w:val="right" w:pos="9026"/>
        </w:tabs>
      </w:pPr>
      <w:r>
        <w:rPr>
          <w:b/>
          <w:bCs/>
        </w:rPr>
        <w:t xml:space="preserve">Front Desk Coordinator, Specialty Orthopedic Associates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Scheduled imaging, surgical consults, and follow-ups for a three-surgeon practice, coordinating prior authorizations with the clinical team.</w:t>
      </w:r>
    </w:p>
    <w:p>
      <w:pPr>
        <w:pStyle w:val="ListParagraph"/>
        <w:numPr>
          <w:ilvl w:val="0"/>
          <w:numId w:val="2"/>
        </w:numPr>
      </w:pPr>
      <w:r>
        <w:t xml:space="preserve">Obtained referrals and authorizations from insurers, preventing roughly 30 claim denials a month at the front end.</w:t>
      </w:r>
    </w:p>
    <w:p>
      <w:pPr>
        <w:pStyle w:val="ListParagraph"/>
        <w:numPr>
          <w:ilvl w:val="0"/>
          <w:numId w:val="2"/>
        </w:numPr>
      </w:pPr>
      <w:r>
        <w:t xml:space="preserve">Greeted and registered patients with mobility needs, arranging interpreter and transport services where required.</w:t>
      </w:r>
    </w:p>
    <w:p>
      <w:pPr>
        <w:pStyle w:val="ListParagraph"/>
        <w:numPr>
          <w:ilvl w:val="0"/>
          <w:numId w:val="2"/>
        </w:numPr>
      </w:pPr>
      <w:r>
        <w:t xml:space="preserve">Reconciled the daily cash and card batch to zero variance and prepared the deposit for the practice manager.</w:t>
      </w:r>
    </w:p>
    <w:p>
      <w:pPr>
        <w:pStyle w:val="ListParagraph"/>
        <w:numPr>
          <w:ilvl w:val="0"/>
          <w:numId w:val="2"/>
        </w:numPr>
      </w:pPr>
      <w:r>
        <w:t xml:space="preserve">Managed the recall and waitlist so cancellations were backfilled the same day to protect provider productivity.</w:t>
      </w:r>
    </w:p>
    <w:p>
      <w:pPr>
        <w:pStyle w:val="ListParagraph"/>
        <w:numPr>
          <w:ilvl w:val="0"/>
          <w:numId w:val="2"/>
        </w:numPr>
      </w:pPr>
      <w:r>
        <w:t xml:space="preserve">Trained two new front-desk hires on registration, scheduling templates, and HIPAA-compliant phone handling.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Medical Office Administration Certificate</w:t>
      </w:r>
      <w:r>
        <w:rPr>
          <w:color w:val="444444"/>
        </w:rPr>
        <w:t xml:space="preserve">	2019 – 2020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SKILLS</w:t>
      </w:r>
    </w:p>
    <w:p>
      <w:r>
        <w:t xml:space="preserve">Patient check-in and registration  ·  Appointment scheduling  ·  Insurance verification  ·  Copay and balance collection  ·  Multi-line phone management  ·  EHR navigation  ·  Referral and authorization  ·  No-show and recall management  ·  HIPAA compliance  ·  Records management  ·  Front-office customer service  ·  Medical terminology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Receptionist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