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Recruiter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Results-driven full-cycle recruiter with seven years filling technical and corporate roles, running Greenhouse and LinkedIn Recruiter to carry 25 open requisitions while holding time-to-fill at 32 days.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Senior Recruiter, Vanguard Talent Partners</w:t>
      </w:r>
      <w:r>
        <w:rPr>
          <w:color w:val="444444"/>
        </w:rPr>
        <w:t xml:space="preserve">	2021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Owned a steady desk of 25 open requisitions across engineering and sales, filling 90-plus roles per year.</w:t>
      </w:r>
    </w:p>
    <w:p>
      <w:pPr>
        <w:pStyle w:val="ListParagraph"/>
        <w:numPr>
          <w:ilvl w:val="0"/>
          <w:numId w:val="2"/>
        </w:numPr>
      </w:pPr>
      <w:r>
        <w:t xml:space="preserve">Held average time-to-fill at 32 days, beating the 45-day team benchmark by sourcing passive candidates early.</w:t>
      </w:r>
    </w:p>
    <w:p>
      <w:pPr>
        <w:pStyle w:val="ListParagraph"/>
        <w:numPr>
          <w:ilvl w:val="0"/>
          <w:numId w:val="2"/>
        </w:numPr>
      </w:pPr>
      <w:r>
        <w:t xml:space="preserve">Ran Greenhouse as the ATS of record, keeping pipeline stages and feedback current for hiring-manager visibility.</w:t>
      </w:r>
    </w:p>
    <w:p>
      <w:pPr>
        <w:pStyle w:val="ListParagraph"/>
        <w:numPr>
          <w:ilvl w:val="0"/>
          <w:numId w:val="2"/>
        </w:numPr>
      </w:pPr>
      <w:r>
        <w:t xml:space="preserve">Sourced through LinkedIn Recruiter and Boolean search, generating a 38% reply rate on cold outreach.</w:t>
      </w:r>
    </w:p>
    <w:p>
      <w:pPr>
        <w:pStyle w:val="ListParagraph"/>
        <w:numPr>
          <w:ilvl w:val="0"/>
          <w:numId w:val="2"/>
        </w:numPr>
      </w:pPr>
      <w:r>
        <w:t xml:space="preserve">Maintained an offer-acceptance rate of 91% by aligning compensation expectations early in the process.</w:t>
      </w:r>
    </w:p>
    <w:p>
      <w:pPr>
        <w:pStyle w:val="ListParagraph"/>
        <w:numPr>
          <w:ilvl w:val="0"/>
          <w:numId w:val="2"/>
        </w:numPr>
      </w:pPr>
      <w:r>
        <w:t xml:space="preserve">Reduced cost-per-hire 22% by shifting two agency-dependent roles to direct sourcing channels.</w:t>
      </w:r>
    </w:p>
    <w:p>
      <w:pPr>
        <w:pStyle w:val="ListParagraph"/>
        <w:numPr>
          <w:ilvl w:val="0"/>
          <w:numId w:val="2"/>
        </w:numPr>
      </w:pPr>
      <w:r>
        <w:t xml:space="preserve">Built structured interview scorecards with hiring managers, improving interviewer agreement and fairness.</w:t>
      </w:r>
    </w:p>
    <w:p>
      <w:pPr>
        <w:pStyle w:val="ListParagraph"/>
        <w:numPr>
          <w:ilvl w:val="0"/>
          <w:numId w:val="2"/>
        </w:numPr>
      </w:pPr>
      <w:r>
        <w:t xml:space="preserve">Coached eight hiring managers on inclusive interviewing, lifting diverse-slate representation in finalist pools.</w:t>
      </w:r>
    </w:p>
    <w:p>
      <w:pPr>
        <w:tabs>
          <w:tab w:val="right" w:pos="9026"/>
        </w:tabs>
      </w:pPr>
      <w:r>
        <w:rPr>
          <w:b/>
          <w:bCs/>
        </w:rPr>
        <w:t xml:space="preserve">Corporate Recruiter, Beacon Staffing Solutions</w:t>
      </w:r>
      <w:r>
        <w:rPr>
          <w:color w:val="444444"/>
        </w:rPr>
        <w:t xml:space="preserve">	2018 – 2021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Managed full-cycle hiring for high-volume customer-service roles, filling 140 positions in a single year.</w:t>
      </w:r>
    </w:p>
    <w:p>
      <w:pPr>
        <w:pStyle w:val="ListParagraph"/>
        <w:numPr>
          <w:ilvl w:val="0"/>
          <w:numId w:val="2"/>
        </w:numPr>
      </w:pPr>
      <w:r>
        <w:t xml:space="preserve">Screened around 60 applicants weekly, advancing qualified candidates through structured phone interviews.</w:t>
      </w:r>
    </w:p>
    <w:p>
      <w:pPr>
        <w:pStyle w:val="ListParagraph"/>
        <w:numPr>
          <w:ilvl w:val="0"/>
          <w:numId w:val="2"/>
        </w:numPr>
      </w:pPr>
      <w:r>
        <w:t xml:space="preserve">Administered Lever as the ATS, automating rejection and scheduling communications to speed candidate flow.</w:t>
      </w:r>
    </w:p>
    <w:p>
      <w:pPr>
        <w:pStyle w:val="ListParagraph"/>
        <w:numPr>
          <w:ilvl w:val="0"/>
          <w:numId w:val="2"/>
        </w:numPr>
      </w:pPr>
      <w:r>
        <w:t xml:space="preserve">Cut average screen-to-offer time from 21 to 14 days by introducing same-week interview loops.</w:t>
      </w:r>
    </w:p>
    <w:p>
      <w:pPr>
        <w:pStyle w:val="ListParagraph"/>
        <w:numPr>
          <w:ilvl w:val="0"/>
          <w:numId w:val="2"/>
        </w:numPr>
      </w:pPr>
      <w:r>
        <w:t xml:space="preserve">Partnered with the hiring team on job-description rewrites that doubled qualified applicant volume on two roles.</w:t>
      </w:r>
    </w:p>
    <w:p>
      <w:pPr>
        <w:pStyle w:val="ListParagraph"/>
        <w:numPr>
          <w:ilvl w:val="0"/>
          <w:numId w:val="2"/>
        </w:numPr>
      </w:pPr>
      <w:r>
        <w:t xml:space="preserve">Tracked a candidate-experience survey that held a 4.6 of 5 satisfaction score across rejected applicants.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Bachelor of Arts in Psychology</w:t>
      </w:r>
      <w:r>
        <w:rPr>
          <w:color w:val="444444"/>
        </w:rPr>
        <w:t xml:space="preserve">	2014 – 2018</w:t>
      </w:r>
    </w:p>
    <w:p>
      <w:r>
        <w:rPr>
          <w:color w:val="444444"/>
        </w:rPr>
        <w:t xml:space="preserve">State University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AIRS Certified Internet Recruiter (CIR)  ·  LinkedIn Certified Professional Recruiter</w:t>
      </w:r>
    </w:p>
    <w:p>
      <w:pPr>
        <w:pStyle w:val="Heading2"/>
      </w:pPr>
      <w:r>
        <w:t xml:space="preserve">SKILLS</w:t>
      </w:r>
    </w:p>
    <w:p>
      <w:r>
        <w:t xml:space="preserve">Full-cycle recruiting  ·  Greenhouse and Lever ATS  ·  LinkedIn Recruiter sourcing  ·  Boolean search  ·  Candidate screening  ·  Structured interviewing  ·  Offer negotiation  ·  Pipeline reporting  ·  Hiring-manager partnership  ·  Diversity sourcing  ·  Employer branding  ·  Cost-per-hire control</w:t>
      </w:r>
    </w:p>
    <w:sectPr>
      <w:pgSz w:w="12240" w:h="15840" w:orient="portrait"/>
      <w:pgMar w:top="1008" w:right="1008" w:bottom="1008" w:left="1008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Calibri" w:cs="Calibri" w:eastAsia="Calibri" w:hAnsi="Calibri"/>
      <w:b/>
      <w:bCs/>
      <w:color w:val="111111"/>
      <w:sz w:val="44"/>
      <w:szCs w:val="44"/>
    </w:rPr>
  </w:style>
  <w:style w:type="paragraph" w:styleId="Heading2">
    <w:name w:val="Heading 2"/>
    <w:basedOn w:val="Normal"/>
    <w:next w:val="Normal"/>
    <w:qFormat/>
    <w:pPr>
      <w:pBdr>
        <w:bottom w:val="single" w:color="1d4ed8" w:sz="6" w:space="2"/>
      </w:pBdr>
      <w:spacing w:after="60" w:before="200"/>
    </w:pPr>
    <w:rPr>
      <w:rFonts w:ascii="Calibri" w:cs="Calibri" w:eastAsia="Calibri" w:hAnsi="Calibri"/>
      <w:b/>
      <w:bCs/>
      <w:caps/>
      <w:color w:val="1d4ed8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