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Sales Representative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Quota-carrying sales representative with six years closing B2B deals across SMB and mid-market, averaging 118% of annual quota and growing a self-sourced pipeline that produced $2.4M in closed-won revenue last fiscal year.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Account Executive, Vantage Software Group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Closed $2.4M in new-logo revenue against a $2.0M target, finishing at 118% of annual quota.</w:t>
      </w:r>
    </w:p>
    <w:p>
      <w:pPr>
        <w:pStyle w:val="ListParagraph"/>
        <w:numPr>
          <w:ilvl w:val="0"/>
          <w:numId w:val="2"/>
        </w:numPr>
      </w:pPr>
      <w:r>
        <w:t xml:space="preserve">Built a self-sourced pipeline of $5.1M by booking 12 to 15 qualified discovery calls each week through cold outreach.</w:t>
      </w:r>
    </w:p>
    <w:p>
      <w:pPr>
        <w:pStyle w:val="ListParagraph"/>
        <w:numPr>
          <w:ilvl w:val="0"/>
          <w:numId w:val="2"/>
        </w:numPr>
      </w:pPr>
      <w:r>
        <w:t xml:space="preserve">Shortened the average sales cycle from 74 to 58 days by introducing a mutual close plan into every opportunity.</w:t>
      </w:r>
    </w:p>
    <w:p>
      <w:pPr>
        <w:pStyle w:val="ListParagraph"/>
        <w:numPr>
          <w:ilvl w:val="0"/>
          <w:numId w:val="2"/>
        </w:numPr>
      </w:pPr>
      <w:r>
        <w:t xml:space="preserve">Maintained a 31% win rate on qualified opportunities, eight points above the team average of 23%.</w:t>
      </w:r>
    </w:p>
    <w:p>
      <w:pPr>
        <w:pStyle w:val="ListParagraph"/>
        <w:numPr>
          <w:ilvl w:val="0"/>
          <w:numId w:val="2"/>
        </w:numPr>
      </w:pPr>
      <w:r>
        <w:t xml:space="preserve">Grew average contract value 22% year over year by leading multi-stakeholder deals into annual commitments.</w:t>
      </w:r>
    </w:p>
    <w:p>
      <w:pPr>
        <w:pStyle w:val="ListParagraph"/>
        <w:numPr>
          <w:ilvl w:val="0"/>
          <w:numId w:val="2"/>
        </w:numPr>
      </w:pPr>
      <w:r>
        <w:t xml:space="preserve">Logged every touch in Salesforce, keeping forecast accuracy within 6% of actuals for four straight quarters.</w:t>
      </w:r>
    </w:p>
    <w:p>
      <w:pPr>
        <w:pStyle w:val="ListParagraph"/>
        <w:numPr>
          <w:ilvl w:val="0"/>
          <w:numId w:val="2"/>
        </w:numPr>
      </w:pPr>
      <w:r>
        <w:t xml:space="preserve">Earned President's Club placement by ranking third of 19 reps on net-new bookings.</w:t>
      </w:r>
    </w:p>
    <w:p>
      <w:pPr>
        <w:tabs>
          <w:tab w:val="right" w:pos="9026"/>
        </w:tabs>
      </w:pPr>
      <w:r>
        <w:rPr>
          <w:b/>
          <w:bCs/>
        </w:rPr>
        <w:t xml:space="preserve">Sales Representative, Pioneer Distribution Co.</w:t>
      </w:r>
      <w:r>
        <w:rPr>
          <w:color w:val="444444"/>
        </w:rPr>
        <w:t xml:space="preserve">	2019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Hit 124% of a $900K territory quota in the final year by expanding 40 dormant accounts back to active buyers.</w:t>
      </w:r>
    </w:p>
    <w:p>
      <w:pPr>
        <w:pStyle w:val="ListParagraph"/>
        <w:numPr>
          <w:ilvl w:val="0"/>
          <w:numId w:val="2"/>
        </w:numPr>
      </w:pPr>
      <w:r>
        <w:t xml:space="preserve">Added 65 new accounts across a four-county territory through field visits and trade-show follow-up.</w:t>
      </w:r>
    </w:p>
    <w:p>
      <w:pPr>
        <w:pStyle w:val="ListParagraph"/>
        <w:numPr>
          <w:ilvl w:val="0"/>
          <w:numId w:val="2"/>
        </w:numPr>
      </w:pPr>
      <w:r>
        <w:t xml:space="preserve">Lifted reorder frequency 19% among top accounts by setting a recurring quarterly business-review cadence.</w:t>
      </w:r>
    </w:p>
    <w:p>
      <w:pPr>
        <w:pStyle w:val="ListParagraph"/>
        <w:numPr>
          <w:ilvl w:val="0"/>
          <w:numId w:val="2"/>
        </w:numPr>
      </w:pPr>
      <w:r>
        <w:t xml:space="preserve">Managed 200+ active accounts in HubSpot with a disciplined follow-up sequence that kept zero leads cold.</w:t>
      </w:r>
    </w:p>
    <w:p>
      <w:pPr>
        <w:pStyle w:val="ListParagraph"/>
        <w:numPr>
          <w:ilvl w:val="0"/>
          <w:numId w:val="2"/>
        </w:numPr>
      </w:pPr>
      <w:r>
        <w:t xml:space="preserve">Negotiated volume pricing on 30 large orders while protecting a 38% blended gross margin.</w:t>
      </w:r>
    </w:p>
    <w:p>
      <w:pPr>
        <w:pStyle w:val="ListParagraph"/>
        <w:numPr>
          <w:ilvl w:val="0"/>
          <w:numId w:val="2"/>
        </w:numPr>
      </w:pPr>
      <w:r>
        <w:t xml:space="preserve">Ranked first in the region for two consecutive quarters on percentage of quota attained.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Business Administration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Quota attainment  ·  Pipeline generation  ·  Salesforce CRM  ·  HubSpot CRM  ·  Consultative selling  ·  Discovery and qualification  ·  Negotiation  ·  Cold outreach  ·  Account expansion  ·  Forecasting accuracy  ·  Trade-show prospecting  ·  Mutual close plans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Representative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