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Social Worker</w:t>
      </w:r>
    </w:p>
    <w:p>
      <w:pPr>
        <w:jc w:val="center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Licensed social worker with five years in child welfare and community mental health, skilled in evidence-based assessment, crisis intervention, and connecting high-need clients to housing, benefits, and treatment.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Child Protective Services Social Worker, County Family Services Agency</w:t>
      </w:r>
      <w:r>
        <w:rPr>
          <w:color w:val="444444"/>
        </w:rPr>
        <w:t xml:space="preserve">	2021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Carried an active caseload of 22 families, completing 100% of mandated home visits within state-required timeframes.</w:t>
      </w:r>
    </w:p>
    <w:p>
      <w:pPr>
        <w:pStyle w:val="ListParagraph"/>
        <w:numPr>
          <w:ilvl w:val="0"/>
          <w:numId w:val="2"/>
        </w:numPr>
      </w:pPr>
      <w:r>
        <w:t xml:space="preserve">Conducted safety and risk assessments using SDM tools, informing court recommendations on 60-plus dependency cases annually.</w:t>
      </w:r>
    </w:p>
    <w:p>
      <w:pPr>
        <w:pStyle w:val="ListParagraph"/>
        <w:numPr>
          <w:ilvl w:val="0"/>
          <w:numId w:val="2"/>
        </w:numPr>
      </w:pPr>
      <w:r>
        <w:t xml:space="preserve">Developed and monitored individualized case plans that reunified 14 of 19 eligible children with their families within a year.</w:t>
      </w:r>
    </w:p>
    <w:p>
      <w:pPr>
        <w:pStyle w:val="ListParagraph"/>
        <w:numPr>
          <w:ilvl w:val="0"/>
          <w:numId w:val="2"/>
        </w:numPr>
      </w:pPr>
      <w:r>
        <w:t xml:space="preserve">Linked clients to housing, SNAP, and substance-use treatment, achieving an 85% successful-referral completion rate.</w:t>
      </w:r>
    </w:p>
    <w:p>
      <w:pPr>
        <w:pStyle w:val="ListParagraph"/>
        <w:numPr>
          <w:ilvl w:val="0"/>
          <w:numId w:val="2"/>
        </w:numPr>
      </w:pPr>
      <w:r>
        <w:t xml:space="preserve">Documented case notes in the SACWIS system within 48 hours of contact, sustaining full audit compliance.</w:t>
      </w:r>
    </w:p>
    <w:p>
      <w:pPr>
        <w:pStyle w:val="ListParagraph"/>
        <w:numPr>
          <w:ilvl w:val="0"/>
          <w:numId w:val="2"/>
        </w:numPr>
      </w:pPr>
      <w:r>
        <w:t xml:space="preserve">Testified in dependency court on 30-plus cases, presenting clear, evidence-based findings to judges and attorneys.</w:t>
      </w:r>
    </w:p>
    <w:p>
      <w:pPr>
        <w:pStyle w:val="ListParagraph"/>
        <w:numPr>
          <w:ilvl w:val="0"/>
          <w:numId w:val="2"/>
        </w:numPr>
      </w:pPr>
      <w:r>
        <w:t xml:space="preserve">De-escalated crisis home visits and coordinated emergency placements, keeping children safe with zero repeat removals during my tenure.</w:t>
      </w:r>
    </w:p>
    <w:p>
      <w:pPr>
        <w:tabs>
          <w:tab w:val="right" w:pos="9026"/>
        </w:tabs>
      </w:pPr>
      <w:r>
        <w:rPr>
          <w:b/>
          <w:bCs/>
        </w:rPr>
        <w:t xml:space="preserve">Behavioral Health Case Manager, Community Wellness Clinic</w:t>
      </w:r>
      <w:r>
        <w:rPr>
          <w:color w:val="444444"/>
        </w:rPr>
        <w:t xml:space="preserve">	2019 – 2021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Managed a caseload of 40 adults with serious mental illness, completing biopsychosocial assessments at intake.</w:t>
      </w:r>
    </w:p>
    <w:p>
      <w:pPr>
        <w:pStyle w:val="ListParagraph"/>
        <w:numPr>
          <w:ilvl w:val="0"/>
          <w:numId w:val="2"/>
        </w:numPr>
      </w:pPr>
      <w:r>
        <w:t xml:space="preserve">Coordinated wraparound services across psychiatry, peer support, and benefits enrollment for each client.</w:t>
      </w:r>
    </w:p>
    <w:p>
      <w:pPr>
        <w:pStyle w:val="ListParagraph"/>
        <w:numPr>
          <w:ilvl w:val="0"/>
          <w:numId w:val="2"/>
        </w:numPr>
      </w:pPr>
      <w:r>
        <w:t xml:space="preserve">Reduced no-show appointment rates from 35% to 18% by introducing reminder calls and warm hand-offs.</w:t>
      </w:r>
    </w:p>
    <w:p>
      <w:pPr>
        <w:pStyle w:val="ListParagraph"/>
        <w:numPr>
          <w:ilvl w:val="0"/>
          <w:numId w:val="2"/>
        </w:numPr>
      </w:pPr>
      <w:r>
        <w:t xml:space="preserve">Facilitated weekly psychoeducation groups for 8 to 12 participants on coping skills and medication adherence.</w:t>
      </w:r>
    </w:p>
    <w:p>
      <w:pPr>
        <w:pStyle w:val="ListParagraph"/>
        <w:numPr>
          <w:ilvl w:val="0"/>
          <w:numId w:val="2"/>
        </w:numPr>
      </w:pPr>
      <w:r>
        <w:t xml:space="preserve">Connected 30 chronically homeless clients to permanent supportive housing through coordinated entry.</w:t>
      </w:r>
    </w:p>
    <w:p>
      <w:pPr>
        <w:pStyle w:val="ListParagraph"/>
        <w:numPr>
          <w:ilvl w:val="0"/>
          <w:numId w:val="2"/>
        </w:numPr>
      </w:pPr>
      <w:r>
        <w:t xml:space="preserve">Maintained HIPAA-compliant electronic records and billed Medicaid services accurately for reimbursement.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Master of Social Work (MSW), Concentration in clinical practice; 900 field-placement hours.</w:t>
      </w:r>
      <w:r>
        <w:rPr>
          <w:color w:val="444444"/>
        </w:rPr>
        <w:t xml:space="preserve">	2017 – 2019</w:t>
      </w:r>
    </w:p>
    <w:p>
      <w:r>
        <w:rPr>
          <w:color w:val="444444"/>
        </w:rPr>
        <w:t xml:space="preserve">State University — City, ST</w:t>
      </w:r>
    </w:p>
    <w:p>
      <w:pPr>
        <w:tabs>
          <w:tab w:val="right" w:pos="9026"/>
        </w:tabs>
      </w:pPr>
      <w:r>
        <w:rPr>
          <w:b/>
          <w:bCs/>
        </w:rPr>
        <w:t xml:space="preserve">Bachelor of Social Work (BSW)</w:t>
      </w:r>
      <w:r>
        <w:rPr>
          <w:color w:val="444444"/>
        </w:rPr>
        <w:t xml:space="preserve">	2013 – 2017</w:t>
      </w:r>
    </w:p>
    <w:p>
      <w:r>
        <w:rPr>
          <w:color w:val="444444"/>
        </w:rPr>
        <w:t xml:space="preserve">State University — City, ST</w:t>
      </w:r>
    </w:p>
    <w:p>
      <w:pPr>
        <w:pStyle w:val="Heading2"/>
      </w:pPr>
      <w:r>
        <w:t xml:space="preserve">CERTIFICATIONS &amp; LICENSES</w:t>
      </w:r>
    </w:p>
    <w:p>
      <w:r>
        <w:t xml:space="preserve">Licensed Clinical Social Worker (LCSW)  ·  Licensed Social Worker (LSW)  ·  CPR/First Aid Certification</w:t>
      </w:r>
    </w:p>
    <w:p>
      <w:pPr>
        <w:pStyle w:val="Heading2"/>
      </w:pPr>
      <w:r>
        <w:t xml:space="preserve">SKILLS</w:t>
      </w:r>
    </w:p>
    <w:p>
      <w:r>
        <w:t xml:space="preserve">Biopsychosocial assessment  ·  Case management  ·  Crisis intervention  ·  Child welfare practice  ·  Resource linkage  ·  Motivational interviewing  ·  Court documentation and testimony  ·  Trauma-informed care  ·  HIPAA and confidentiality  ·  Electronic case records  ·  Group facilitation  ·  Benefits navigation</w:t>
      </w:r>
    </w:p>
    <w:sectPr>
      <w:pgSz w:w="12240" w:h="15840" w:orient="portrait"/>
      <w:pgMar w:top="1152" w:right="1152" w:bottom="1152" w:left="1152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111111"/>
        <w:sz w:val="21"/>
        <w:szCs w:val="21"/>
      </w:rPr>
    </w:rPrDefault>
    <w:pPrDefault>
      <w:pPr>
        <w:spacing w:after="80" w:line="283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center"/>
    </w:pPr>
    <w:rPr>
      <w:rFonts w:ascii="Georgia" w:cs="Georgia" w:eastAsia="Georgia" w:hAnsi="Georgia"/>
      <w:b/>
      <w:bCs/>
      <w:color w:val="111111"/>
      <w:sz w:val="42"/>
      <w:szCs w:val="42"/>
    </w:rPr>
  </w:style>
  <w:style w:type="paragraph" w:styleId="Heading2">
    <w:name w:val="Heading 2"/>
    <w:basedOn w:val="Normal"/>
    <w:next w:val="Normal"/>
    <w:qFormat/>
    <w:pPr>
      <w:pBdr>
        <w:bottom w:val="single" w:color="334155" w:sz="6" w:space="2"/>
      </w:pBdr>
      <w:spacing w:after="60" w:before="200"/>
    </w:pPr>
    <w:rPr>
      <w:rFonts w:ascii="Georgia" w:cs="Georgia" w:eastAsia="Georgia" w:hAnsi="Georgia"/>
      <w:b/>
      <w:bCs/>
      <w:caps/>
      <w:color w:val="334155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Worker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